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jc w:val="center"/>
        <w:rPr>
          <w:rFonts w:hAnsi="宋体" w:cs="Times New Roman"/>
          <w:b/>
          <w:sz w:val="28"/>
          <w:szCs w:val="28"/>
        </w:rPr>
      </w:pPr>
      <w:r>
        <w:rPr>
          <w:rFonts w:hint="eastAsia" w:hAnsi="宋体" w:cs="Times New Roman"/>
          <w:b/>
          <w:sz w:val="28"/>
          <w:szCs w:val="28"/>
          <w:lang w:eastAsia="zh-CN"/>
        </w:rPr>
        <w:t>附件：</w:t>
      </w:r>
      <w:bookmarkStart w:id="0" w:name="_GoBack"/>
      <w:bookmarkEnd w:id="0"/>
      <w:r>
        <w:rPr>
          <w:rFonts w:hint="eastAsia" w:hAnsi="宋体" w:cs="Times New Roman"/>
          <w:b/>
          <w:sz w:val="28"/>
          <w:szCs w:val="28"/>
        </w:rPr>
        <w:t>碘</w:t>
      </w:r>
      <w:r>
        <w:rPr>
          <w:rFonts w:hint="eastAsia" w:hAnsi="宋体"/>
          <w:b/>
          <w:sz w:val="28"/>
          <w:szCs w:val="28"/>
        </w:rPr>
        <w:t>[</w:t>
      </w:r>
      <w:r>
        <w:rPr>
          <w:rFonts w:hint="eastAsia" w:hAnsi="宋体"/>
          <w:b/>
          <w:sz w:val="28"/>
          <w:szCs w:val="28"/>
          <w:vertAlign w:val="superscript"/>
        </w:rPr>
        <w:t>125</w:t>
      </w:r>
      <w:r>
        <w:rPr>
          <w:rFonts w:hint="eastAsia" w:hAnsi="宋体"/>
          <w:b/>
          <w:sz w:val="28"/>
          <w:szCs w:val="28"/>
        </w:rPr>
        <w:t>I]</w:t>
      </w:r>
      <w:r>
        <w:rPr>
          <w:rFonts w:hint="eastAsia" w:hAnsi="宋体" w:cs="Times New Roman"/>
          <w:b/>
          <w:sz w:val="28"/>
          <w:szCs w:val="28"/>
        </w:rPr>
        <w:t>密封籽源、配套设备技术参数及售后要求</w:t>
      </w:r>
    </w:p>
    <w:p>
      <w:pPr>
        <w:tabs>
          <w:tab w:val="left" w:pos="426"/>
        </w:tabs>
        <w:autoSpaceDE w:val="0"/>
        <w:autoSpaceDN w:val="0"/>
        <w:adjustRightInd w:val="0"/>
        <w:snapToGrid w:val="0"/>
        <w:ind w:left="40" w:leftChars="19"/>
        <w:rPr>
          <w:rFonts w:ascii="宋体" w:hAnsi="宋体"/>
          <w:b/>
          <w:szCs w:val="21"/>
        </w:rPr>
      </w:pPr>
      <w:r>
        <w:rPr>
          <w:rFonts w:hint="eastAsia" w:ascii="宋体" w:hAnsi="宋体"/>
          <w:b/>
          <w:szCs w:val="21"/>
        </w:rPr>
        <w:t>一、技术参数</w:t>
      </w:r>
    </w:p>
    <w:p>
      <w:pPr>
        <w:widowControl/>
        <w:contextualSpacing/>
        <w:jc w:val="left"/>
        <w:rPr>
          <w:rFonts w:ascii="宋体" w:hAnsi="宋体"/>
          <w:b/>
          <w:kern w:val="0"/>
          <w:szCs w:val="21"/>
        </w:rPr>
      </w:pPr>
      <w:r>
        <w:rPr>
          <w:rFonts w:hint="eastAsia" w:ascii="宋体" w:hAnsi="宋体"/>
          <w:b/>
          <w:kern w:val="0"/>
          <w:szCs w:val="21"/>
        </w:rPr>
        <w:t>（一）具体技术要求</w:t>
      </w:r>
    </w:p>
    <w:p>
      <w:pPr>
        <w:widowControl/>
        <w:contextualSpacing/>
        <w:jc w:val="left"/>
        <w:rPr>
          <w:rFonts w:ascii="宋体" w:hAnsi="宋体"/>
          <w:kern w:val="0"/>
          <w:szCs w:val="21"/>
        </w:rPr>
      </w:pPr>
      <w:r>
        <w:rPr>
          <w:rFonts w:hint="eastAsia" w:ascii="宋体" w:hAnsi="宋体"/>
          <w:kern w:val="0"/>
          <w:szCs w:val="21"/>
        </w:rPr>
        <w:t>1、碘</w:t>
      </w:r>
      <w:r>
        <w:rPr>
          <w:rFonts w:hint="eastAsia" w:ascii="宋体" w:hAnsi="宋体"/>
          <w:szCs w:val="21"/>
        </w:rPr>
        <w:t>[</w:t>
      </w:r>
      <w:r>
        <w:rPr>
          <w:rFonts w:hint="eastAsia" w:ascii="宋体" w:hAnsi="宋体"/>
          <w:szCs w:val="21"/>
          <w:vertAlign w:val="superscript"/>
        </w:rPr>
        <w:t>125</w:t>
      </w:r>
      <w:r>
        <w:rPr>
          <w:rFonts w:hint="eastAsia" w:ascii="宋体" w:hAnsi="宋体"/>
          <w:szCs w:val="21"/>
        </w:rPr>
        <w:t>I]</w:t>
      </w:r>
      <w:r>
        <w:rPr>
          <w:rFonts w:hint="eastAsia" w:ascii="宋体" w:hAnsi="宋体"/>
          <w:kern w:val="0"/>
          <w:szCs w:val="21"/>
        </w:rPr>
        <w:t>纯度: &gt;99.5%。</w:t>
      </w:r>
    </w:p>
    <w:p>
      <w:pPr>
        <w:widowControl/>
        <w:contextualSpacing/>
        <w:jc w:val="left"/>
        <w:rPr>
          <w:rFonts w:ascii="宋体" w:hAnsi="宋体"/>
          <w:kern w:val="0"/>
          <w:szCs w:val="21"/>
        </w:rPr>
      </w:pPr>
      <w:r>
        <w:rPr>
          <w:rFonts w:hint="eastAsia" w:ascii="宋体" w:hAnsi="宋体"/>
          <w:kern w:val="0"/>
          <w:szCs w:val="21"/>
        </w:rPr>
        <w:t>2、碘</w:t>
      </w:r>
      <w:r>
        <w:rPr>
          <w:rFonts w:hint="eastAsia" w:ascii="宋体" w:hAnsi="宋体"/>
          <w:szCs w:val="21"/>
        </w:rPr>
        <w:t>[</w:t>
      </w:r>
      <w:r>
        <w:rPr>
          <w:rFonts w:hint="eastAsia" w:ascii="宋体" w:hAnsi="宋体"/>
          <w:szCs w:val="21"/>
          <w:vertAlign w:val="superscript"/>
        </w:rPr>
        <w:t>126</w:t>
      </w:r>
      <w:r>
        <w:rPr>
          <w:rFonts w:hint="eastAsia" w:ascii="宋体" w:hAnsi="宋体"/>
          <w:szCs w:val="21"/>
        </w:rPr>
        <w:t>I]</w:t>
      </w:r>
      <w:r>
        <w:rPr>
          <w:rFonts w:hint="eastAsia" w:ascii="宋体" w:hAnsi="宋体"/>
          <w:kern w:val="0"/>
          <w:szCs w:val="21"/>
        </w:rPr>
        <w:t>含量: &lt;0.05%。</w:t>
      </w:r>
    </w:p>
    <w:p>
      <w:pPr>
        <w:widowControl/>
        <w:contextualSpacing/>
        <w:jc w:val="left"/>
        <w:rPr>
          <w:rFonts w:ascii="宋体" w:hAnsi="宋体"/>
          <w:kern w:val="0"/>
          <w:szCs w:val="21"/>
        </w:rPr>
      </w:pPr>
      <w:r>
        <w:rPr>
          <w:rFonts w:hint="eastAsia" w:ascii="宋体" w:hAnsi="宋体"/>
          <w:kern w:val="0"/>
          <w:szCs w:val="21"/>
        </w:rPr>
        <w:t>3、半衰期：60.01天。</w:t>
      </w:r>
    </w:p>
    <w:p>
      <w:pPr>
        <w:widowControl/>
        <w:contextualSpacing/>
        <w:jc w:val="left"/>
        <w:rPr>
          <w:rFonts w:ascii="宋体" w:hAnsi="宋体"/>
          <w:kern w:val="0"/>
          <w:szCs w:val="21"/>
        </w:rPr>
      </w:pPr>
      <w:r>
        <w:rPr>
          <w:rFonts w:hint="eastAsia" w:ascii="宋体" w:hAnsi="宋体"/>
          <w:kern w:val="0"/>
          <w:szCs w:val="21"/>
        </w:rPr>
        <w:t>4、能量：γ线：35.5 Kev。</w:t>
      </w:r>
    </w:p>
    <w:p>
      <w:pPr>
        <w:widowControl/>
        <w:tabs>
          <w:tab w:val="left" w:pos="420"/>
        </w:tabs>
        <w:contextualSpacing/>
        <w:jc w:val="left"/>
        <w:rPr>
          <w:rFonts w:ascii="宋体" w:hAnsi="宋体"/>
          <w:kern w:val="0"/>
          <w:szCs w:val="21"/>
        </w:rPr>
      </w:pPr>
      <w:r>
        <w:rPr>
          <w:rFonts w:hint="eastAsia" w:ascii="宋体" w:hAnsi="宋体"/>
          <w:kern w:val="0"/>
          <w:szCs w:val="21"/>
        </w:rPr>
        <w:t>5、 特征X射线：21.1-31.5 Kev。</w:t>
      </w:r>
    </w:p>
    <w:p>
      <w:pPr>
        <w:widowControl/>
        <w:contextualSpacing/>
        <w:jc w:val="left"/>
        <w:rPr>
          <w:rFonts w:ascii="宋体" w:hAnsi="宋体"/>
          <w:kern w:val="0"/>
          <w:szCs w:val="21"/>
        </w:rPr>
      </w:pPr>
      <w:r>
        <w:rPr>
          <w:rFonts w:hint="eastAsia" w:ascii="宋体" w:hAnsi="宋体"/>
          <w:kern w:val="0"/>
          <w:szCs w:val="21"/>
        </w:rPr>
        <w:t>6、初始剂量率：7 cGy/h。</w:t>
      </w:r>
    </w:p>
    <w:p>
      <w:pPr>
        <w:widowControl/>
        <w:contextualSpacing/>
        <w:jc w:val="left"/>
        <w:rPr>
          <w:rFonts w:ascii="宋体" w:hAnsi="宋体"/>
          <w:kern w:val="0"/>
          <w:szCs w:val="21"/>
        </w:rPr>
      </w:pPr>
      <w:r>
        <w:rPr>
          <w:rFonts w:hint="eastAsia" w:ascii="宋体" w:hAnsi="宋体"/>
          <w:kern w:val="0"/>
          <w:szCs w:val="21"/>
        </w:rPr>
        <w:t>7、组织穿透能力：1.7 cm。</w:t>
      </w:r>
    </w:p>
    <w:p>
      <w:pPr>
        <w:widowControl/>
        <w:contextualSpacing/>
        <w:jc w:val="left"/>
        <w:rPr>
          <w:rFonts w:ascii="宋体" w:hAnsi="宋体"/>
          <w:kern w:val="0"/>
          <w:szCs w:val="21"/>
        </w:rPr>
      </w:pPr>
      <w:r>
        <w:rPr>
          <w:rFonts w:hint="eastAsia" w:ascii="宋体" w:hAnsi="宋体"/>
          <w:kern w:val="0"/>
          <w:szCs w:val="21"/>
        </w:rPr>
        <w:t>8、活度范围：0.4-1.0 mCi。</w:t>
      </w:r>
    </w:p>
    <w:p>
      <w:pPr>
        <w:widowControl/>
        <w:contextualSpacing/>
        <w:jc w:val="left"/>
        <w:rPr>
          <w:rFonts w:ascii="宋体" w:hAnsi="宋体"/>
          <w:kern w:val="0"/>
          <w:szCs w:val="21"/>
        </w:rPr>
      </w:pPr>
      <w:r>
        <w:rPr>
          <w:rFonts w:hint="eastAsia" w:ascii="宋体" w:hAnsi="宋体"/>
          <w:kern w:val="0"/>
          <w:szCs w:val="21"/>
        </w:rPr>
        <w:t>9、活度偏差：≦±5%。</w:t>
      </w:r>
    </w:p>
    <w:p>
      <w:pPr>
        <w:widowControl/>
        <w:contextualSpacing/>
        <w:jc w:val="left"/>
        <w:rPr>
          <w:rFonts w:ascii="宋体" w:hAnsi="宋体"/>
          <w:kern w:val="0"/>
          <w:szCs w:val="21"/>
        </w:rPr>
      </w:pPr>
      <w:r>
        <w:rPr>
          <w:rFonts w:hint="eastAsia" w:ascii="宋体" w:hAnsi="宋体"/>
          <w:kern w:val="0"/>
          <w:szCs w:val="21"/>
        </w:rPr>
        <w:t>10、钛管壁厚：&lt;0.06 mm。</w:t>
      </w:r>
    </w:p>
    <w:p>
      <w:pPr>
        <w:widowControl/>
        <w:tabs>
          <w:tab w:val="left" w:pos="420"/>
        </w:tabs>
        <w:contextualSpacing/>
        <w:jc w:val="left"/>
        <w:rPr>
          <w:rFonts w:ascii="宋体" w:hAnsi="宋体"/>
          <w:kern w:val="0"/>
          <w:szCs w:val="21"/>
        </w:rPr>
      </w:pPr>
      <w:r>
        <w:rPr>
          <w:rFonts w:hint="eastAsia" w:ascii="宋体" w:hAnsi="宋体"/>
          <w:kern w:val="0"/>
          <w:szCs w:val="21"/>
        </w:rPr>
        <w:t>11、粒源长度：4.5 mm</w:t>
      </w:r>
    </w:p>
    <w:p>
      <w:pPr>
        <w:widowControl/>
        <w:tabs>
          <w:tab w:val="left" w:pos="420"/>
        </w:tabs>
        <w:contextualSpacing/>
        <w:jc w:val="left"/>
        <w:rPr>
          <w:rFonts w:ascii="宋体" w:hAnsi="宋体"/>
          <w:kern w:val="0"/>
          <w:szCs w:val="21"/>
        </w:rPr>
      </w:pPr>
      <w:r>
        <w:rPr>
          <w:rFonts w:hint="eastAsia" w:ascii="宋体" w:hAnsi="宋体"/>
          <w:kern w:val="0"/>
          <w:szCs w:val="21"/>
        </w:rPr>
        <w:t>12、粒源直径：0.8 mm。</w:t>
      </w:r>
    </w:p>
    <w:p>
      <w:pPr>
        <w:widowControl/>
        <w:tabs>
          <w:tab w:val="left" w:pos="420"/>
        </w:tabs>
        <w:contextualSpacing/>
        <w:jc w:val="left"/>
        <w:rPr>
          <w:rFonts w:ascii="宋体" w:hAnsi="宋体"/>
          <w:kern w:val="0"/>
          <w:szCs w:val="21"/>
        </w:rPr>
      </w:pPr>
      <w:r>
        <w:rPr>
          <w:rFonts w:hint="eastAsia" w:ascii="宋体" w:hAnsi="宋体"/>
          <w:kern w:val="0"/>
          <w:szCs w:val="21"/>
        </w:rPr>
        <w:t>13、银棒芯长：3.0 mm。</w:t>
      </w:r>
    </w:p>
    <w:p>
      <w:pPr>
        <w:widowControl/>
        <w:tabs>
          <w:tab w:val="left" w:pos="420"/>
        </w:tabs>
        <w:contextualSpacing/>
        <w:jc w:val="left"/>
        <w:rPr>
          <w:rFonts w:ascii="宋体" w:hAnsi="宋体"/>
          <w:kern w:val="0"/>
          <w:szCs w:val="21"/>
        </w:rPr>
      </w:pPr>
      <w:r>
        <w:rPr>
          <w:rFonts w:hint="eastAsia" w:ascii="宋体" w:hAnsi="宋体"/>
          <w:kern w:val="0"/>
          <w:szCs w:val="21"/>
        </w:rPr>
        <w:t>14、包壳材料：钛合金。</w:t>
      </w:r>
    </w:p>
    <w:p>
      <w:pPr>
        <w:widowControl/>
        <w:tabs>
          <w:tab w:val="left" w:pos="420"/>
        </w:tabs>
        <w:contextualSpacing/>
        <w:jc w:val="left"/>
        <w:rPr>
          <w:rFonts w:ascii="宋体" w:hAnsi="宋体"/>
          <w:kern w:val="0"/>
          <w:szCs w:val="21"/>
        </w:rPr>
      </w:pPr>
      <w:r>
        <w:rPr>
          <w:rFonts w:hint="eastAsia" w:ascii="宋体" w:hAnsi="宋体"/>
          <w:kern w:val="0"/>
          <w:szCs w:val="21"/>
        </w:rPr>
        <w:t>15、芯材料：优质银棒。</w:t>
      </w:r>
    </w:p>
    <w:p>
      <w:pPr>
        <w:widowControl/>
        <w:tabs>
          <w:tab w:val="left" w:pos="420"/>
        </w:tabs>
        <w:contextualSpacing/>
        <w:jc w:val="left"/>
        <w:rPr>
          <w:rFonts w:ascii="宋体" w:hAnsi="宋体"/>
          <w:kern w:val="0"/>
          <w:szCs w:val="21"/>
        </w:rPr>
      </w:pPr>
      <w:r>
        <w:rPr>
          <w:rFonts w:hint="eastAsia" w:ascii="宋体" w:hAnsi="宋体"/>
          <w:kern w:val="0"/>
          <w:szCs w:val="21"/>
        </w:rPr>
        <w:t>16、焊接方式：两端、激光。</w:t>
      </w:r>
    </w:p>
    <w:p>
      <w:pPr>
        <w:widowControl/>
        <w:jc w:val="left"/>
        <w:rPr>
          <w:rFonts w:ascii="宋体" w:hAnsi="宋体"/>
          <w:b/>
          <w:kern w:val="0"/>
          <w:szCs w:val="21"/>
        </w:rPr>
      </w:pPr>
      <w:r>
        <w:rPr>
          <w:rFonts w:hint="eastAsia" w:ascii="宋体" w:hAnsi="宋体"/>
          <w:b/>
          <w:kern w:val="0"/>
          <w:szCs w:val="21"/>
        </w:rPr>
        <w:t>（二）供货服务要求：</w:t>
      </w:r>
    </w:p>
    <w:p>
      <w:pPr>
        <w:widowControl/>
        <w:jc w:val="left"/>
        <w:rPr>
          <w:rFonts w:ascii="宋体" w:hAnsi="宋体"/>
          <w:kern w:val="0"/>
          <w:szCs w:val="21"/>
        </w:rPr>
      </w:pPr>
      <w:r>
        <w:rPr>
          <w:rFonts w:hint="eastAsia" w:ascii="宋体" w:hAnsi="宋体"/>
          <w:kern w:val="0"/>
          <w:szCs w:val="21"/>
        </w:rPr>
        <w:t>1.必按照国家相关规定向用户提供放射性粒子供货和销售服务，包括但不限于</w:t>
      </w:r>
      <w:r>
        <w:rPr>
          <w:rFonts w:hint="eastAsia" w:ascii="宋体" w:hAnsi="宋体"/>
          <w:szCs w:val="21"/>
        </w:rPr>
        <w:t>I</w:t>
      </w:r>
      <w:r>
        <w:rPr>
          <w:rFonts w:hint="eastAsia" w:ascii="宋体" w:hAnsi="宋体"/>
          <w:szCs w:val="21"/>
          <w:vertAlign w:val="superscript"/>
        </w:rPr>
        <w:t>125</w:t>
      </w:r>
      <w:r>
        <w:rPr>
          <w:rFonts w:hint="eastAsia" w:ascii="宋体" w:hAnsi="宋体"/>
          <w:kern w:val="0"/>
          <w:szCs w:val="21"/>
        </w:rPr>
        <w:t>粒子生产、消毒、运输、转让等。</w:t>
      </w:r>
    </w:p>
    <w:p>
      <w:pPr>
        <w:widowControl/>
        <w:jc w:val="left"/>
        <w:rPr>
          <w:rFonts w:ascii="宋体" w:hAnsi="宋体"/>
          <w:kern w:val="0"/>
          <w:szCs w:val="21"/>
        </w:rPr>
      </w:pPr>
      <w:r>
        <w:rPr>
          <w:rFonts w:hint="eastAsia" w:ascii="宋体" w:hAnsi="宋体"/>
          <w:kern w:val="0"/>
          <w:szCs w:val="21"/>
        </w:rPr>
        <w:t>2.应保证医院提出采购计划后24小时内供货，送货前一工作日下午</w:t>
      </w:r>
      <w:r>
        <w:rPr>
          <w:rFonts w:ascii="宋体" w:hAnsi="宋体"/>
          <w:kern w:val="0"/>
          <w:szCs w:val="21"/>
        </w:rPr>
        <w:t>18</w:t>
      </w:r>
      <w:r>
        <w:rPr>
          <w:rFonts w:hint="eastAsia" w:ascii="宋体" w:hAnsi="宋体"/>
          <w:kern w:val="0"/>
          <w:szCs w:val="21"/>
        </w:rPr>
        <w:t>：</w:t>
      </w:r>
      <w:r>
        <w:rPr>
          <w:rFonts w:ascii="宋体" w:hAnsi="宋体"/>
          <w:kern w:val="0"/>
          <w:szCs w:val="21"/>
        </w:rPr>
        <w:t>00</w:t>
      </w:r>
      <w:r>
        <w:rPr>
          <w:rFonts w:hint="eastAsia" w:ascii="宋体" w:hAnsi="宋体"/>
          <w:kern w:val="0"/>
          <w:szCs w:val="21"/>
        </w:rPr>
        <w:t xml:space="preserve">前，需将拟送货的计划清单与用户确认核对。 </w:t>
      </w:r>
    </w:p>
    <w:p>
      <w:pPr>
        <w:widowControl/>
        <w:jc w:val="left"/>
        <w:rPr>
          <w:rFonts w:ascii="宋体" w:hAnsi="宋体"/>
          <w:kern w:val="0"/>
          <w:szCs w:val="21"/>
        </w:rPr>
      </w:pPr>
      <w:r>
        <w:rPr>
          <w:rFonts w:hint="eastAsia" w:ascii="宋体" w:hAnsi="宋体"/>
          <w:kern w:val="0"/>
          <w:szCs w:val="21"/>
        </w:rPr>
        <w:t>3.应具备1年以上放射性粒子消毒配送经验，并能提供消毒配送的相关证明材料。</w:t>
      </w:r>
    </w:p>
    <w:p>
      <w:pPr>
        <w:widowControl/>
        <w:jc w:val="left"/>
        <w:rPr>
          <w:rFonts w:ascii="宋体" w:hAnsi="宋体"/>
          <w:kern w:val="0"/>
          <w:szCs w:val="21"/>
        </w:rPr>
      </w:pPr>
      <w:r>
        <w:rPr>
          <w:rFonts w:hint="eastAsia" w:ascii="宋体" w:hAnsi="宋体"/>
          <w:kern w:val="0"/>
          <w:szCs w:val="21"/>
        </w:rPr>
        <w:t>4.应具备至少</w:t>
      </w:r>
      <w:r>
        <w:rPr>
          <w:rFonts w:ascii="宋体" w:hAnsi="宋体"/>
          <w:kern w:val="0"/>
          <w:szCs w:val="21"/>
        </w:rPr>
        <w:t>5</w:t>
      </w:r>
      <w:r>
        <w:rPr>
          <w:rFonts w:hint="eastAsia" w:ascii="宋体" w:hAnsi="宋体"/>
          <w:kern w:val="0"/>
          <w:szCs w:val="21"/>
        </w:rPr>
        <w:t>把植入枪及</w:t>
      </w:r>
      <w:r>
        <w:rPr>
          <w:rFonts w:ascii="宋体" w:hAnsi="宋体"/>
          <w:kern w:val="0"/>
          <w:szCs w:val="21"/>
        </w:rPr>
        <w:t>50</w:t>
      </w:r>
      <w:r>
        <w:rPr>
          <w:rFonts w:hint="eastAsia" w:ascii="宋体" w:hAnsi="宋体"/>
          <w:kern w:val="0"/>
          <w:szCs w:val="21"/>
        </w:rPr>
        <w:t>个弹夹（需列出详细清单），以保障临床使用需求。</w:t>
      </w:r>
    </w:p>
    <w:p>
      <w:pPr>
        <w:widowControl/>
        <w:jc w:val="left"/>
        <w:rPr>
          <w:rFonts w:ascii="宋体" w:hAnsi="宋体"/>
          <w:kern w:val="0"/>
          <w:szCs w:val="21"/>
        </w:rPr>
      </w:pPr>
      <w:r>
        <w:rPr>
          <w:rFonts w:hint="eastAsia" w:ascii="宋体" w:hAnsi="宋体"/>
          <w:kern w:val="0"/>
          <w:szCs w:val="21"/>
        </w:rPr>
        <w:t>5.粒子I</w:t>
      </w:r>
      <w:r>
        <w:rPr>
          <w:rFonts w:hint="eastAsia" w:ascii="宋体" w:hAnsi="宋体"/>
          <w:kern w:val="0"/>
          <w:szCs w:val="21"/>
          <w:vertAlign w:val="superscript"/>
        </w:rPr>
        <w:t>125</w:t>
      </w:r>
      <w:r>
        <w:rPr>
          <w:rFonts w:hint="eastAsia" w:ascii="宋体" w:hAnsi="宋体"/>
          <w:kern w:val="0"/>
          <w:szCs w:val="21"/>
        </w:rPr>
        <w:t>(下称“货物”)的质量必须符合国家质量管理标准。粒子的活度要求在</w:t>
      </w:r>
      <w:r>
        <w:rPr>
          <w:rFonts w:hint="eastAsia" w:ascii="宋体" w:hAnsi="宋体"/>
          <w:color w:val="000000"/>
          <w:kern w:val="0"/>
          <w:szCs w:val="21"/>
        </w:rPr>
        <w:t>0.5-0.9mCi</w:t>
      </w:r>
      <w:r>
        <w:rPr>
          <w:rFonts w:hint="eastAsia" w:ascii="宋体" w:hAnsi="宋体"/>
          <w:kern w:val="0"/>
          <w:szCs w:val="21"/>
        </w:rPr>
        <w:t>之间。每批货物必须清楚标注生产厂家、厂址、药品批准文号、生产批号、生产日期、放射性活度；并有合格证；</w:t>
      </w:r>
    </w:p>
    <w:p>
      <w:pPr>
        <w:widowControl/>
        <w:jc w:val="left"/>
        <w:rPr>
          <w:rFonts w:ascii="宋体" w:hAnsi="宋体"/>
          <w:kern w:val="0"/>
          <w:szCs w:val="21"/>
        </w:rPr>
      </w:pPr>
      <w:r>
        <w:rPr>
          <w:rFonts w:hint="eastAsia" w:ascii="宋体" w:hAnsi="宋体"/>
          <w:kern w:val="0"/>
          <w:szCs w:val="21"/>
        </w:rPr>
        <w:t>6.必须提供具体的确保质量和服务的方案，以确保粒子的活度、配送服务的及时、交接流程的规范、消毒质量等。</w:t>
      </w:r>
    </w:p>
    <w:p>
      <w:pPr>
        <w:widowControl/>
        <w:jc w:val="left"/>
        <w:rPr>
          <w:rFonts w:ascii="宋体" w:hAnsi="宋体"/>
          <w:kern w:val="0"/>
          <w:szCs w:val="21"/>
        </w:rPr>
      </w:pPr>
      <w:r>
        <w:rPr>
          <w:rFonts w:hint="eastAsia" w:ascii="宋体" w:hAnsi="宋体"/>
          <w:kern w:val="0"/>
          <w:szCs w:val="21"/>
        </w:rPr>
        <w:t>7.每次送货时，须提供产品检验报告等验收资料以及一式三份的送货清单交使用部门验收，经用户人员对放射性粒子活度、数量及消毒等验收无误后，双方都必须在送货清单上签名确认，供方、使用部门</w:t>
      </w:r>
      <w:r>
        <w:rPr>
          <w:rFonts w:hint="eastAsia" w:ascii="宋体" w:hAnsi="宋体"/>
          <w:bCs/>
          <w:kern w:val="0"/>
          <w:szCs w:val="21"/>
        </w:rPr>
        <w:t>及药学部各留一份存底（由使用部门提供）</w:t>
      </w:r>
      <w:r>
        <w:rPr>
          <w:rFonts w:hint="eastAsia" w:ascii="宋体" w:hAnsi="宋体"/>
          <w:kern w:val="0"/>
          <w:szCs w:val="21"/>
        </w:rPr>
        <w:t>。</w:t>
      </w:r>
    </w:p>
    <w:p>
      <w:pPr>
        <w:widowControl/>
        <w:jc w:val="left"/>
        <w:rPr>
          <w:rFonts w:ascii="宋体" w:hAnsi="宋体"/>
          <w:kern w:val="0"/>
          <w:szCs w:val="21"/>
        </w:rPr>
      </w:pPr>
      <w:r>
        <w:rPr>
          <w:rFonts w:hint="eastAsia" w:ascii="宋体" w:hAnsi="宋体"/>
          <w:kern w:val="0"/>
          <w:szCs w:val="21"/>
        </w:rPr>
        <w:t>8.每次送货由专车运送，送货人员持有《辐射工作人员培训合格证》。</w:t>
      </w:r>
    </w:p>
    <w:p>
      <w:pPr>
        <w:widowControl/>
        <w:jc w:val="left"/>
        <w:rPr>
          <w:rFonts w:ascii="宋体" w:hAnsi="宋体"/>
          <w:kern w:val="0"/>
          <w:szCs w:val="21"/>
        </w:rPr>
      </w:pPr>
      <w:r>
        <w:rPr>
          <w:rFonts w:hint="eastAsia" w:ascii="宋体" w:hAnsi="宋体"/>
          <w:kern w:val="0"/>
          <w:szCs w:val="21"/>
        </w:rPr>
        <w:t>9.若提供的I</w:t>
      </w:r>
      <w:r>
        <w:rPr>
          <w:rFonts w:hint="eastAsia" w:ascii="宋体" w:hAnsi="宋体"/>
          <w:kern w:val="0"/>
          <w:szCs w:val="21"/>
          <w:vertAlign w:val="superscript"/>
        </w:rPr>
        <w:t>125</w:t>
      </w:r>
      <w:r>
        <w:rPr>
          <w:rFonts w:hint="eastAsia" w:ascii="宋体" w:hAnsi="宋体"/>
          <w:kern w:val="0"/>
          <w:szCs w:val="21"/>
        </w:rPr>
        <w:t>在临床使用过程中发现任何质量问题，供方须在1天内为用户换回合格品，而且供方须承担由此发生的一切费用和相应的违约责任。</w:t>
      </w:r>
    </w:p>
    <w:p>
      <w:pPr>
        <w:widowControl/>
        <w:jc w:val="left"/>
        <w:rPr>
          <w:rFonts w:ascii="宋体" w:hAnsi="宋体"/>
          <w:b/>
          <w:kern w:val="0"/>
          <w:szCs w:val="21"/>
        </w:rPr>
      </w:pPr>
      <w:r>
        <w:rPr>
          <w:rFonts w:hint="eastAsia" w:ascii="宋体" w:hAnsi="宋体"/>
          <w:b/>
          <w:kern w:val="0"/>
          <w:szCs w:val="21"/>
        </w:rPr>
        <w:t>二、其他要求</w:t>
      </w:r>
    </w:p>
    <w:p>
      <w:pPr>
        <w:widowControl/>
        <w:jc w:val="left"/>
        <w:rPr>
          <w:rFonts w:ascii="宋体" w:hAnsi="宋体"/>
          <w:kern w:val="0"/>
          <w:szCs w:val="21"/>
        </w:rPr>
      </w:pPr>
      <w:r>
        <w:rPr>
          <w:rFonts w:hint="eastAsia" w:ascii="宋体" w:hAnsi="宋体"/>
          <w:kern w:val="0"/>
          <w:szCs w:val="21"/>
        </w:rPr>
        <w:t>负责使用前粒子、配套植入设备的消毒、安装和及使用后植入设备的回收清洗。</w:t>
      </w:r>
    </w:p>
    <w:p>
      <w:pPr>
        <w:rPr>
          <w:rStyle w:val="9"/>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678F"/>
    <w:rsid w:val="00045231"/>
    <w:rsid w:val="00223ADC"/>
    <w:rsid w:val="0089678F"/>
    <w:rsid w:val="00A4107B"/>
    <w:rsid w:val="00B8570E"/>
    <w:rsid w:val="00C506A8"/>
    <w:rsid w:val="00ED5E5B"/>
    <w:rsid w:val="00F437CB"/>
    <w:rsid w:val="04C73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cs="Courier New"/>
      <w:szCs w:val="21"/>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ca-12"/>
    <w:uiPriority w:val="99"/>
    <w:rPr>
      <w:rFonts w:eastAsia="宋体" w:cs="Times New Roman"/>
      <w:kern w:val="2"/>
      <w:sz w:val="24"/>
      <w:szCs w:val="24"/>
      <w:lang w:val="en-US" w:eastAsia="zh-CN" w:bidi="ar-SA"/>
    </w:rPr>
  </w:style>
  <w:style w:type="character" w:customStyle="1" w:styleId="10">
    <w:name w:val="纯文本 Char"/>
    <w:link w:val="2"/>
    <w:uiPriority w:val="0"/>
    <w:rPr>
      <w:rFonts w:ascii="宋体" w:hAnsi="Courier New" w:eastAsia="宋体" w:cs="Courier New"/>
      <w:szCs w:val="21"/>
    </w:rPr>
  </w:style>
  <w:style w:type="character" w:customStyle="1" w:styleId="11">
    <w:name w:val="纯文本 Char1"/>
    <w:basedOn w:val="6"/>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788</Characters>
  <Lines>6</Lines>
  <Paragraphs>1</Paragraphs>
  <TotalTime>7</TotalTime>
  <ScaleCrop>false</ScaleCrop>
  <LinksUpToDate>false</LinksUpToDate>
  <CharactersWithSpaces>925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2020-05-17T13:46:00Z</dcterms:created>
  <dc:creator>fo</dc:creator>
  <cp:lastModifiedBy>Administrator</cp:lastModifiedBy>
  <dcterms:modified xsi:type="dcterms:W3CDTF">2020-05-25T08:49:58Z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